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01" w:rsidRDefault="00FB7D01" w:rsidP="00FB7D01">
      <w:pPr>
        <w:spacing w:line="252" w:lineRule="auto"/>
        <w:ind w:left="720" w:hanging="360"/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color w:val="C45911" w:themeColor="accent2" w:themeShade="BF"/>
        </w:rPr>
      </w:pPr>
      <w:bookmarkStart w:id="0" w:name="_GoBack"/>
      <w:bookmarkEnd w:id="0"/>
      <w:r w:rsidRPr="00FB7D01">
        <w:rPr>
          <w:b/>
          <w:color w:val="C45911" w:themeColor="accent2" w:themeShade="BF"/>
        </w:rPr>
        <w:t xml:space="preserve">July </w:t>
      </w:r>
      <w:r>
        <w:rPr>
          <w:b/>
          <w:color w:val="C45911" w:themeColor="accent2" w:themeShade="BF"/>
        </w:rPr>
        <w:t>11, 2019</w:t>
      </w:r>
    </w:p>
    <w:p w:rsidR="00FB7D01" w:rsidRPr="00FB7D01" w:rsidRDefault="00FB7D01" w:rsidP="00FB7D01">
      <w:pPr>
        <w:spacing w:line="252" w:lineRule="auto"/>
        <w:ind w:left="720" w:hanging="360"/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color w:val="C45911" w:themeColor="accent2" w:themeShade="BF"/>
        </w:rPr>
      </w:pPr>
      <w:r w:rsidRPr="00FB7D01">
        <w:rPr>
          <w:b/>
          <w:color w:val="C45911" w:themeColor="accent2" w:themeShade="BF"/>
        </w:rPr>
        <w:t>FY18 REACH and Impact PIIRS DATA: What can we learn on Resilience and Resilience Marker?</w:t>
      </w:r>
    </w:p>
    <w:p w:rsidR="00FB7D01" w:rsidRDefault="00FB7D01" w:rsidP="00FB7D01">
      <w:pPr>
        <w:spacing w:line="252" w:lineRule="auto"/>
        <w:ind w:left="720" w:hanging="360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:rsidR="00FB7D01" w:rsidRDefault="00FB7D01" w:rsidP="00FB7D01">
      <w:pPr>
        <w:pStyle w:val="ListParagraph"/>
        <w:numPr>
          <w:ilvl w:val="0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 w:rsidRPr="002B3E99">
        <w:rPr>
          <w:rFonts w:asciiTheme="majorHAnsi" w:hAnsiTheme="majorHAnsi" w:cstheme="majorBidi"/>
          <w:sz w:val="18"/>
          <w:szCs w:val="18"/>
        </w:rPr>
        <w:t>Overall agreement that</w:t>
      </w:r>
      <w:r w:rsidRPr="00F20810">
        <w:rPr>
          <w:rFonts w:ascii="Segoe UI" w:eastAsia="Times New Roman" w:hAnsi="Segoe UI" w:cs="Segoe UI"/>
          <w:b/>
          <w:bCs/>
          <w:color w:val="C45911"/>
          <w:sz w:val="16"/>
          <w:szCs w:val="18"/>
        </w:rPr>
        <w:t xml:space="preserve"> the questions that are asked in the marker are the right ones</w:t>
      </w:r>
      <w:r>
        <w:rPr>
          <w:rFonts w:asciiTheme="majorHAnsi" w:hAnsiTheme="majorHAnsi" w:cstheme="majorBidi"/>
          <w:sz w:val="18"/>
          <w:szCs w:val="18"/>
        </w:rPr>
        <w:t>. They are accurate and cover the right elements to assess resilience</w:t>
      </w:r>
      <w:r w:rsidRPr="79543092">
        <w:rPr>
          <w:rFonts w:asciiTheme="majorHAnsi" w:hAnsiTheme="majorHAnsi" w:cstheme="majorBidi"/>
          <w:sz w:val="18"/>
          <w:szCs w:val="18"/>
        </w:rPr>
        <w:t>.</w:t>
      </w:r>
    </w:p>
    <w:p w:rsidR="00FB7D01" w:rsidRDefault="00FB7D01" w:rsidP="00FB7D01">
      <w:pPr>
        <w:pStyle w:val="ListParagraph"/>
        <w:numPr>
          <w:ilvl w:val="0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 w:rsidRPr="00977E07">
        <w:rPr>
          <w:rFonts w:ascii="Segoe UI" w:eastAsia="Times New Roman" w:hAnsi="Segoe UI" w:cs="Segoe UI"/>
          <w:b/>
          <w:bCs/>
          <w:color w:val="C45911"/>
          <w:sz w:val="16"/>
          <w:szCs w:val="18"/>
        </w:rPr>
        <w:t>Appreciation of the vetting form from COs</w:t>
      </w:r>
      <w:r>
        <w:rPr>
          <w:rFonts w:asciiTheme="majorHAnsi" w:hAnsiTheme="majorHAnsi" w:cstheme="majorBidi"/>
          <w:sz w:val="18"/>
          <w:szCs w:val="18"/>
        </w:rPr>
        <w:t>: The vetting form allows for documenting discussions, deliberations and some actions to be taken based on the scoring in the marker</w:t>
      </w:r>
    </w:p>
    <w:p w:rsidR="00FB7D01" w:rsidRDefault="00FB7D01" w:rsidP="00FB7D01">
      <w:pPr>
        <w:pStyle w:val="ListParagraph"/>
        <w:numPr>
          <w:ilvl w:val="0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 w:rsidRPr="00977E07">
        <w:rPr>
          <w:rFonts w:ascii="Segoe UI" w:eastAsia="Times New Roman" w:hAnsi="Segoe UI" w:cs="Segoe UI"/>
          <w:b/>
          <w:bCs/>
          <w:color w:val="C45911"/>
          <w:sz w:val="16"/>
          <w:szCs w:val="18"/>
        </w:rPr>
        <w:t xml:space="preserve">Need to invest more on unpacking the data and discussing it with regions, countries and technical teams. </w:t>
      </w:r>
      <w:r>
        <w:rPr>
          <w:rFonts w:asciiTheme="majorHAnsi" w:hAnsiTheme="majorHAnsi" w:cstheme="majorBidi"/>
          <w:sz w:val="18"/>
          <w:szCs w:val="18"/>
        </w:rPr>
        <w:t>Examples</w:t>
      </w:r>
    </w:p>
    <w:p w:rsidR="00FB7D01" w:rsidRDefault="00FB7D01" w:rsidP="00FB7D01">
      <w:pPr>
        <w:pStyle w:val="ListParagraph"/>
        <w:numPr>
          <w:ilvl w:val="1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>What does it mean to see that economic shocks and social shocks are the most prominent ones?</w:t>
      </w:r>
    </w:p>
    <w:p w:rsidR="00FB7D01" w:rsidRDefault="00FB7D01" w:rsidP="00FB7D01">
      <w:pPr>
        <w:pStyle w:val="ListParagraph"/>
        <w:numPr>
          <w:ilvl w:val="1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>What are the connections of the resilience marker data with other markers?</w:t>
      </w:r>
    </w:p>
    <w:p w:rsidR="00FB7D01" w:rsidRDefault="00FB7D01" w:rsidP="00FB7D01">
      <w:pPr>
        <w:pStyle w:val="ListParagraph"/>
        <w:numPr>
          <w:ilvl w:val="0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 w:rsidRPr="00977E07">
        <w:rPr>
          <w:rFonts w:ascii="Segoe UI" w:eastAsia="Times New Roman" w:hAnsi="Segoe UI" w:cs="Segoe UI"/>
          <w:b/>
          <w:bCs/>
          <w:color w:val="C45911"/>
          <w:sz w:val="16"/>
          <w:szCs w:val="18"/>
        </w:rPr>
        <w:t xml:space="preserve">What advice the CCRP provides on making more structured follow-up to marker results every year </w:t>
      </w:r>
      <w:r>
        <w:rPr>
          <w:rFonts w:asciiTheme="majorHAnsi" w:hAnsiTheme="majorHAnsi" w:cstheme="majorBidi"/>
          <w:sz w:val="18"/>
          <w:szCs w:val="18"/>
        </w:rPr>
        <w:t>(what should countries/regions do in between two marker assessments?)</w:t>
      </w:r>
    </w:p>
    <w:p w:rsidR="00FB7D01" w:rsidRDefault="00FB7D01" w:rsidP="00FB7D01">
      <w:pPr>
        <w:pStyle w:val="ListParagraph"/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>Some ideas</w:t>
      </w:r>
    </w:p>
    <w:p w:rsidR="00FB7D01" w:rsidRDefault="00FB7D01" w:rsidP="00FB7D01">
      <w:pPr>
        <w:pStyle w:val="ListParagraph"/>
        <w:numPr>
          <w:ilvl w:val="1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>Focus on top 5 or top bottom projects/scores</w:t>
      </w:r>
    </w:p>
    <w:p w:rsidR="00FB7D01" w:rsidRDefault="00FB7D01" w:rsidP="00FB7D01">
      <w:pPr>
        <w:pStyle w:val="ListParagraph"/>
        <w:numPr>
          <w:ilvl w:val="1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>Focus on specific thematic areas (e.g. advocacy)</w:t>
      </w:r>
    </w:p>
    <w:p w:rsidR="00FB7D01" w:rsidRDefault="00FB7D01" w:rsidP="00FB7D01">
      <w:pPr>
        <w:pStyle w:val="ListParagraph"/>
        <w:numPr>
          <w:ilvl w:val="1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 xml:space="preserve">Ask projects to summarize action points from the vetting forms and follow up on </w:t>
      </w:r>
      <w:proofErr w:type="gramStart"/>
      <w:r>
        <w:rPr>
          <w:rFonts w:asciiTheme="majorHAnsi" w:hAnsiTheme="majorHAnsi" w:cstheme="majorBidi"/>
          <w:sz w:val="18"/>
          <w:szCs w:val="18"/>
        </w:rPr>
        <w:t>a number of</w:t>
      </w:r>
      <w:proofErr w:type="gramEnd"/>
      <w:r>
        <w:rPr>
          <w:rFonts w:asciiTheme="majorHAnsi" w:hAnsiTheme="majorHAnsi" w:cstheme="majorBidi"/>
          <w:sz w:val="18"/>
          <w:szCs w:val="18"/>
        </w:rPr>
        <w:t xml:space="preserve"> them during the FY</w:t>
      </w:r>
    </w:p>
    <w:p w:rsidR="00FB7D01" w:rsidRDefault="00FB7D01" w:rsidP="00FB7D01">
      <w:pPr>
        <w:pStyle w:val="ListParagraph"/>
        <w:numPr>
          <w:ilvl w:val="1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>
        <w:rPr>
          <w:rFonts w:asciiTheme="majorHAnsi" w:hAnsiTheme="majorHAnsi" w:cstheme="majorBidi"/>
          <w:sz w:val="18"/>
          <w:szCs w:val="18"/>
        </w:rPr>
        <w:t>Present key “areas of attention” to regional teams, for them to follow up with countries during a FY</w:t>
      </w:r>
    </w:p>
    <w:p w:rsidR="00FB7D01" w:rsidRDefault="00FB7D01" w:rsidP="00FB7D01">
      <w:pPr>
        <w:pStyle w:val="ListParagraph"/>
        <w:numPr>
          <w:ilvl w:val="0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 w:rsidRPr="00977E07">
        <w:rPr>
          <w:rFonts w:ascii="Segoe UI" w:eastAsia="Times New Roman" w:hAnsi="Segoe UI" w:cs="Segoe UI"/>
          <w:b/>
          <w:bCs/>
          <w:color w:val="C45911"/>
          <w:sz w:val="16"/>
          <w:szCs w:val="18"/>
        </w:rPr>
        <w:t>Suggestion of adjustment to the marker:</w:t>
      </w:r>
      <w:r>
        <w:rPr>
          <w:rFonts w:asciiTheme="majorHAnsi" w:hAnsiTheme="majorHAnsi" w:cstheme="majorBidi"/>
          <w:sz w:val="18"/>
          <w:szCs w:val="18"/>
        </w:rPr>
        <w:t xml:space="preserve"> Can the questions refer to “all relevant shocks and stresses” instead of “the top 3 shocks and stresses”? Having the questions referring to 3 shocks has been challenging for some teams, when they don’t have more than 2 shocks.</w:t>
      </w:r>
    </w:p>
    <w:p w:rsidR="00FB7D01" w:rsidRDefault="00FB7D01" w:rsidP="00FB7D01">
      <w:pPr>
        <w:pStyle w:val="ListParagraph"/>
        <w:numPr>
          <w:ilvl w:val="0"/>
          <w:numId w:val="1"/>
        </w:numPr>
        <w:spacing w:line="252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Bidi"/>
          <w:sz w:val="18"/>
          <w:szCs w:val="18"/>
        </w:rPr>
      </w:pPr>
      <w:r w:rsidRPr="00977E07">
        <w:rPr>
          <w:rFonts w:ascii="Segoe UI" w:eastAsia="Times New Roman" w:hAnsi="Segoe UI" w:cs="Segoe UI"/>
          <w:b/>
          <w:bCs/>
          <w:color w:val="C45911"/>
          <w:sz w:val="16"/>
          <w:szCs w:val="18"/>
        </w:rPr>
        <w:t>Targets for the resilience marker?</w:t>
      </w:r>
      <w:r>
        <w:rPr>
          <w:rFonts w:asciiTheme="majorHAnsi" w:hAnsiTheme="majorHAnsi" w:cstheme="majorBidi"/>
          <w:sz w:val="18"/>
          <w:szCs w:val="18"/>
        </w:rPr>
        <w:t xml:space="preserve"> Do we need to set up targets for the next FYs? Or define a marker score threshold for projects? </w:t>
      </w:r>
    </w:p>
    <w:p w:rsidR="00CD5DFF" w:rsidRDefault="00CD5DFF"/>
    <w:sectPr w:rsidR="00CD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13C"/>
    <w:multiLevelType w:val="hybridMultilevel"/>
    <w:tmpl w:val="ED547896"/>
    <w:lvl w:ilvl="0" w:tplc="8C286A56">
      <w:start w:val="1"/>
      <w:numFmt w:val="decimal"/>
      <w:lvlText w:val="%1."/>
      <w:lvlJc w:val="left"/>
      <w:pPr>
        <w:ind w:left="720" w:hanging="360"/>
      </w:pPr>
    </w:lvl>
    <w:lvl w:ilvl="1" w:tplc="F66E749A">
      <w:start w:val="1"/>
      <w:numFmt w:val="lowerLetter"/>
      <w:lvlText w:val="%2."/>
      <w:lvlJc w:val="left"/>
      <w:pPr>
        <w:ind w:left="1440" w:hanging="360"/>
      </w:pPr>
    </w:lvl>
    <w:lvl w:ilvl="2" w:tplc="A56A4F50">
      <w:start w:val="1"/>
      <w:numFmt w:val="lowerRoman"/>
      <w:lvlText w:val="%3."/>
      <w:lvlJc w:val="right"/>
      <w:pPr>
        <w:ind w:left="2160" w:hanging="180"/>
      </w:pPr>
    </w:lvl>
    <w:lvl w:ilvl="3" w:tplc="06149846">
      <w:start w:val="1"/>
      <w:numFmt w:val="decimal"/>
      <w:lvlText w:val="%4."/>
      <w:lvlJc w:val="left"/>
      <w:pPr>
        <w:ind w:left="2880" w:hanging="360"/>
      </w:pPr>
    </w:lvl>
    <w:lvl w:ilvl="4" w:tplc="36DA9A64">
      <w:start w:val="1"/>
      <w:numFmt w:val="lowerLetter"/>
      <w:lvlText w:val="%5."/>
      <w:lvlJc w:val="left"/>
      <w:pPr>
        <w:ind w:left="3600" w:hanging="360"/>
      </w:pPr>
    </w:lvl>
    <w:lvl w:ilvl="5" w:tplc="5FAE0804">
      <w:start w:val="1"/>
      <w:numFmt w:val="lowerRoman"/>
      <w:lvlText w:val="%6."/>
      <w:lvlJc w:val="right"/>
      <w:pPr>
        <w:ind w:left="4320" w:hanging="180"/>
      </w:pPr>
    </w:lvl>
    <w:lvl w:ilvl="6" w:tplc="C69CE234">
      <w:start w:val="1"/>
      <w:numFmt w:val="decimal"/>
      <w:lvlText w:val="%7."/>
      <w:lvlJc w:val="left"/>
      <w:pPr>
        <w:ind w:left="5040" w:hanging="360"/>
      </w:pPr>
    </w:lvl>
    <w:lvl w:ilvl="7" w:tplc="72AE1050">
      <w:start w:val="1"/>
      <w:numFmt w:val="lowerLetter"/>
      <w:lvlText w:val="%8."/>
      <w:lvlJc w:val="left"/>
      <w:pPr>
        <w:ind w:left="5760" w:hanging="360"/>
      </w:pPr>
    </w:lvl>
    <w:lvl w:ilvl="8" w:tplc="1C0C4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01"/>
    <w:rsid w:val="00CD5DFF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8467"/>
  <w15:chartTrackingRefBased/>
  <w15:docId w15:val="{FAB146E6-AA00-4CBD-BFA1-E77B9B3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0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Echeverría, Ximena</dc:creator>
  <cp:keywords/>
  <dc:description/>
  <cp:lastModifiedBy>Echeverría, Ximena</cp:lastModifiedBy>
  <cp:revision>1</cp:revision>
  <dcterms:created xsi:type="dcterms:W3CDTF">2019-07-11T11:23:00Z</dcterms:created>
  <dcterms:modified xsi:type="dcterms:W3CDTF">2019-07-11T11:24:00Z</dcterms:modified>
</cp:coreProperties>
</file>